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jc w:val="center"/>
        <w:rPr>
          <w:rFonts w:hint="eastAsia" w:ascii="黑体" w:hAnsi="黑体" w:eastAsia="黑体" w:cs="黑体"/>
          <w:b/>
          <w:bCs w:val="0"/>
          <w:i w:val="0"/>
          <w:caps w:val="0"/>
          <w:color w:val="3E3E3E"/>
          <w:spacing w:val="8"/>
          <w:sz w:val="44"/>
          <w:szCs w:val="44"/>
        </w:rPr>
      </w:pPr>
      <w:r>
        <w:rPr>
          <w:rFonts w:hint="eastAsia" w:ascii="黑体" w:hAnsi="黑体" w:eastAsia="黑体" w:cs="黑体"/>
          <w:b/>
          <w:bCs w:val="0"/>
          <w:sz w:val="44"/>
          <w:szCs w:val="44"/>
          <w:bdr w:val="none" w:color="auto" w:sz="0" w:space="0"/>
        </w:rPr>
        <w:t>兰州市城乡居民基本医疗保险最全解读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bCs/>
          <w:i w:val="0"/>
          <w:caps w:val="0"/>
          <w:color w:val="auto"/>
          <w:spacing w:val="8"/>
          <w:sz w:val="36"/>
          <w:szCs w:val="36"/>
        </w:rPr>
      </w:pPr>
      <w:r>
        <w:rPr>
          <w:b/>
          <w:bCs/>
          <w:color w:val="auto"/>
          <w:sz w:val="40"/>
          <w:szCs w:val="40"/>
          <w:bdr w:val="none" w:color="auto" w:sz="0" w:space="0"/>
        </w:rPr>
        <w:t>01</w:t>
      </w:r>
      <w:r>
        <w:rPr>
          <w:rStyle w:val="7"/>
          <w:b/>
          <w:bCs/>
          <w:color w:val="auto"/>
          <w:sz w:val="36"/>
          <w:szCs w:val="36"/>
          <w:bdr w:val="none" w:color="auto" w:sz="0" w:space="0"/>
        </w:rPr>
        <w:t>住院部分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color w:val="auto"/>
        </w:rPr>
      </w:pPr>
      <w:r>
        <w:rPr>
          <w:b/>
          <w:bCs/>
          <w:color w:val="auto"/>
          <w:sz w:val="25"/>
          <w:szCs w:val="25"/>
          <w:bdr w:val="none" w:color="E2561B" w:sz="0" w:space="0"/>
        </w:rPr>
        <w:t>问：城乡居民基本医疗保险整合后住院流程是什么？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firstLineChars="200"/>
        <w:jc w:val="both"/>
      </w:pPr>
      <w:r>
        <w:rPr>
          <w:color w:val="333333"/>
          <w:sz w:val="22"/>
          <w:szCs w:val="22"/>
          <w:bdr w:val="none" w:color="auto" w:sz="0" w:space="0"/>
        </w:rPr>
        <w:t>参保患者在住院时，需要选择就近的基层医疗机构进行首诊（危急重除外），首诊医疗机构根据参保患者疾病情况按照分级诊疗政策对患者提出治疗建议，属于本级医疗机构就诊的病种，首诊医疗机构要对患者提供优质的医疗服务，并在患者出院时进行直接结算；属于省、市级别的病种，首诊医疗机构要及时按照逐级转诊的原则向上转诊，开具统一的《转诊转院审批表》，并认真填写相关内容，做好记录，避免患者二次跑路。对越级首诊的患者，接诊的医务人员有责任和义务告知其分级诊疗的流程和政策，同时尊重患者的自由择医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E3E3E"/>
          <w:spacing w:val="8"/>
          <w:sz w:val="24"/>
          <w:szCs w:val="24"/>
        </w:rPr>
      </w:pPr>
      <w:r>
        <w:rPr>
          <w:rFonts w:hint="eastAsia" w:ascii="微软雅黑" w:hAnsi="微软雅黑" w:eastAsia="微软雅黑" w:cs="微软雅黑"/>
          <w:b w:val="0"/>
          <w:i w:val="0"/>
          <w:caps w:val="0"/>
          <w:color w:val="333333"/>
          <w:spacing w:val="8"/>
          <w:sz w:val="24"/>
          <w:szCs w:val="24"/>
          <w:lang w:eastAsia="zh-CN"/>
        </w:rPr>
        <w:drawing>
          <wp:inline distT="0" distB="0" distL="114300" distR="114300">
            <wp:extent cx="4952365" cy="3570605"/>
            <wp:effectExtent l="0" t="0" r="635" b="10795"/>
            <wp:docPr id="2" name="图片 2" descr="64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0.webp"/>
                    <pic:cNvPicPr>
                      <a:picLocks noChangeAspect="1"/>
                    </pic:cNvPicPr>
                  </pic:nvPicPr>
                  <pic:blipFill>
                    <a:blip r:embed="rId5"/>
                    <a:stretch>
                      <a:fillRect/>
                    </a:stretch>
                  </pic:blipFill>
                  <pic:spPr>
                    <a:xfrm>
                      <a:off x="0" y="0"/>
                      <a:ext cx="4952365" cy="3570605"/>
                    </a:xfrm>
                    <a:prstGeom prst="rect">
                      <a:avLst/>
                    </a:prstGeom>
                  </pic:spPr>
                </pic:pic>
              </a:graphicData>
            </a:graphic>
          </wp:inline>
        </w:drawing>
      </w:r>
      <w:r>
        <w:rPr>
          <w:rFonts w:hint="eastAsia" w:ascii="微软雅黑" w:hAnsi="微软雅黑" w:eastAsia="微软雅黑" w:cs="微软雅黑"/>
          <w:b w:val="0"/>
          <w:i w:val="0"/>
          <w:caps w:val="0"/>
          <w:color w:val="3E3E3E"/>
          <w:spacing w:val="8"/>
          <w:sz w:val="24"/>
          <w:szCs w:val="24"/>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color w:val="auto"/>
        </w:rPr>
      </w:pPr>
      <w:bookmarkStart w:id="0" w:name="OLE_LINK1"/>
      <w:r>
        <w:rPr>
          <w:b/>
          <w:bCs/>
          <w:color w:val="auto"/>
          <w:sz w:val="25"/>
          <w:szCs w:val="25"/>
          <w:bdr w:val="none" w:color="E2561B" w:sz="0" w:space="0"/>
        </w:rPr>
        <w:t>问：什么是分级诊疗？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50" w:firstLineChars="200"/>
        <w:jc w:val="both"/>
        <w:rPr>
          <w:rFonts w:hint="eastAsia" w:ascii="微软雅黑" w:hAnsi="微软雅黑" w:eastAsia="微软雅黑" w:cs="微软雅黑"/>
          <w:b w:val="0"/>
          <w:i w:val="0"/>
          <w:caps w:val="0"/>
          <w:color w:val="333333"/>
          <w:spacing w:val="8"/>
          <w:sz w:val="24"/>
          <w:szCs w:val="24"/>
        </w:rPr>
      </w:pPr>
      <w:r>
        <w:rPr>
          <w:color w:val="333333"/>
          <w:sz w:val="22"/>
          <w:szCs w:val="22"/>
          <w:bdr w:val="none" w:color="auto" w:sz="0" w:space="0"/>
        </w:rPr>
        <w:t>分级诊疗就是按照疾病的轻、重、缓、急及治疗的难易程度进行分级，不同级别的医疗机构承担不同疾病的治疗，各有所长，逐步实现专业化。将小病、常见病分流到基层医疗机构，省、市级医疗机构承担重大疾病及疑难杂症的救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color w:val="auto"/>
        </w:rPr>
      </w:pPr>
      <w:r>
        <w:rPr>
          <w:b/>
          <w:bCs/>
          <w:color w:val="auto"/>
          <w:sz w:val="25"/>
          <w:szCs w:val="25"/>
          <w:bdr w:val="none" w:color="E2561B" w:sz="0" w:space="0"/>
        </w:rPr>
        <w:t>问：对参保患者实际能带来什么好处？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50" w:firstLineChars="200"/>
        <w:jc w:val="both"/>
        <w:rPr>
          <w:rFonts w:hint="eastAsia" w:ascii="微软雅黑" w:hAnsi="微软雅黑" w:eastAsia="微软雅黑" w:cs="微软雅黑"/>
          <w:b w:val="0"/>
          <w:i w:val="0"/>
          <w:caps w:val="0"/>
          <w:color w:val="333333"/>
          <w:spacing w:val="8"/>
          <w:sz w:val="24"/>
          <w:szCs w:val="24"/>
        </w:rPr>
      </w:pPr>
      <w:r>
        <w:rPr>
          <w:color w:val="333333"/>
          <w:sz w:val="22"/>
          <w:szCs w:val="22"/>
          <w:bdr w:val="none" w:color="auto" w:sz="0" w:space="0"/>
        </w:rPr>
        <w:t>首先是花费少，相比大医院，县、乡两级医疗机构花费更少，纳入分级诊疗的病种，按照定额支付，不设起付线，参合患者只需缴纳自付部分。</w:t>
      </w:r>
      <w:bookmarkStart w:id="1" w:name="_GoBack"/>
      <w:bookmarkEnd w:id="1"/>
      <w:r>
        <w:rPr>
          <w:color w:val="333333"/>
          <w:sz w:val="22"/>
          <w:szCs w:val="22"/>
          <w:bdr w:val="none" w:color="auto" w:sz="0" w:space="0"/>
        </w:rPr>
        <w:t>其次是时间省，县、乡级医疗机构离家近，比大医院排队少。另外还有医患沟通多，大医院病人太多，医生看病不得不快。县、乡级医疗机构的医生们可以和你细聊，让你对自己的病情更了解。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color w:val="auto"/>
        </w:rPr>
      </w:pPr>
      <w:r>
        <w:rPr>
          <w:b/>
          <w:bCs/>
          <w:color w:val="auto"/>
          <w:sz w:val="25"/>
          <w:szCs w:val="25"/>
          <w:bdr w:val="none" w:color="E2561B" w:sz="0" w:space="0"/>
        </w:rPr>
        <w:t>问：所有的情况和病种都需要基层首诊，逐级转诊吗？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50" w:firstLineChars="200"/>
        <w:jc w:val="both"/>
        <w:rPr>
          <w:color w:val="000000" w:themeColor="text1"/>
          <w14:textFill>
            <w14:solidFill>
              <w14:schemeClr w14:val="tx1"/>
            </w14:solidFill>
          </w14:textFill>
        </w:rPr>
      </w:pPr>
      <w:r>
        <w:rPr>
          <w:color w:val="000000" w:themeColor="text1"/>
          <w:sz w:val="22"/>
          <w:szCs w:val="22"/>
          <w:bdr w:val="none" w:color="auto" w:sz="0" w:space="0"/>
          <w14:textFill>
            <w14:solidFill>
              <w14:schemeClr w14:val="tx1"/>
            </w14:solidFill>
          </w14:textFill>
        </w:rPr>
        <w:t>1.因病情特殊需要，患者在市域内同级别医院转诊不需要《转诊转院审批表》；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50" w:firstLineChars="200"/>
        <w:jc w:val="both"/>
        <w:rPr>
          <w:color w:val="000000" w:themeColor="text1"/>
          <w14:textFill>
            <w14:solidFill>
              <w14:schemeClr w14:val="tx1"/>
            </w14:solidFill>
          </w14:textFill>
        </w:rPr>
      </w:pPr>
      <w:r>
        <w:rPr>
          <w:color w:val="000000" w:themeColor="text1"/>
          <w:sz w:val="22"/>
          <w:szCs w:val="22"/>
          <w:bdr w:val="none" w:color="auto" w:sz="0" w:space="0"/>
          <w14:textFill>
            <w14:solidFill>
              <w14:schemeClr w14:val="tx1"/>
            </w14:solidFill>
          </w14:textFill>
        </w:rPr>
        <w:t>2.对于传染病、重性精神病、儿科、血液病、恶性肿瘤等特殊专业病人，乡（镇）级医疗机构（含社区卫生服务中心）拥有和县级医疗机构同等的县域外转诊权；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50" w:firstLineChars="200"/>
        <w:jc w:val="both"/>
        <w:rPr>
          <w:rFonts w:hint="eastAsia" w:ascii="微软雅黑" w:hAnsi="微软雅黑" w:eastAsia="微软雅黑" w:cs="微软雅黑"/>
          <w:b w:val="0"/>
          <w:i w:val="0"/>
          <w:caps w:val="0"/>
          <w:color w:val="333333"/>
          <w:spacing w:val="8"/>
          <w:sz w:val="24"/>
          <w:szCs w:val="24"/>
        </w:rPr>
      </w:pPr>
      <w:r>
        <w:rPr>
          <w:color w:val="000000" w:themeColor="text1"/>
          <w:sz w:val="22"/>
          <w:szCs w:val="22"/>
          <w:bdr w:val="none" w:color="auto" w:sz="0" w:space="0"/>
          <w14:textFill>
            <w14:solidFill>
              <w14:schemeClr w14:val="tx1"/>
            </w14:solidFill>
          </w14:textFill>
        </w:rPr>
        <w:t>3.对于需要特殊陪护才能就医的人群，如70岁以上的老年人、0-7岁的婴幼儿、重度残疾人、孕产妇、危重急患者、精神病患者等，按照就近、救急的原则，可自主选择医疗机构首诊。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color w:val="auto"/>
        </w:rPr>
      </w:pPr>
      <w:r>
        <w:rPr>
          <w:b/>
          <w:bCs/>
          <w:color w:val="auto"/>
          <w:sz w:val="25"/>
          <w:szCs w:val="25"/>
          <w:bdr w:val="none" w:color="E2561B" w:sz="0" w:space="0"/>
        </w:rPr>
        <w:t>问：现在看病就医需要携带什么证件？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50" w:firstLineChars="200"/>
        <w:jc w:val="both"/>
        <w:rPr>
          <w:rFonts w:hint="eastAsia" w:ascii="微软雅黑" w:hAnsi="微软雅黑" w:eastAsia="微软雅黑" w:cs="微软雅黑"/>
          <w:b w:val="0"/>
          <w:i w:val="0"/>
          <w:caps w:val="0"/>
          <w:color w:val="333333"/>
          <w:spacing w:val="8"/>
          <w:sz w:val="24"/>
          <w:szCs w:val="24"/>
        </w:rPr>
      </w:pPr>
      <w:r>
        <w:rPr>
          <w:color w:val="333333"/>
          <w:sz w:val="22"/>
          <w:szCs w:val="22"/>
          <w:bdr w:val="none" w:color="auto" w:sz="0" w:space="0"/>
        </w:rPr>
        <w:t>参保患者如需就医，需要携带患者本人身份证（无身份证者持户口本）及社会保障卡，如尚未发卡的城乡居民医保参保患者，需到参保县区医保局出具《无卡就医确认单》，持以上证件在市域内所住医疗机构登记后，出院享受直接结算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color w:val="auto"/>
        </w:rPr>
      </w:pPr>
      <w:r>
        <w:rPr>
          <w:b/>
          <w:bCs/>
          <w:color w:val="auto"/>
          <w:sz w:val="25"/>
          <w:szCs w:val="25"/>
          <w:bdr w:val="none" w:color="E2561B" w:sz="0" w:space="0"/>
        </w:rPr>
        <w:t>问：年度报销有上限吗？限额是多少？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50" w:firstLineChars="200"/>
        <w:jc w:val="both"/>
      </w:pPr>
      <w:r>
        <w:rPr>
          <w:color w:val="333333"/>
          <w:sz w:val="22"/>
          <w:szCs w:val="22"/>
          <w:bdr w:val="none" w:color="auto" w:sz="0" w:space="0"/>
        </w:rPr>
        <w:t>城乡居民参保人员在参保年度内住院，不受住院次数和所住医院级别限制，但实际报销费用累计金额最高为4万元，不包括重大疾病。</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b/>
          <w:bCs/>
          <w:color w:val="auto"/>
          <w:sz w:val="40"/>
          <w:szCs w:val="40"/>
        </w:rPr>
      </w:pPr>
      <w:r>
        <w:rPr>
          <w:b/>
          <w:bCs/>
          <w:color w:val="auto"/>
          <w:sz w:val="40"/>
          <w:szCs w:val="40"/>
        </w:rPr>
        <w:t>02门诊部分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color w:val="auto"/>
        </w:rPr>
      </w:pPr>
      <w:r>
        <w:rPr>
          <w:b/>
          <w:bCs/>
          <w:color w:val="auto"/>
          <w:sz w:val="25"/>
          <w:szCs w:val="25"/>
          <w:bdr w:val="none" w:color="E2561B" w:sz="0" w:space="0"/>
        </w:rPr>
        <w:t>问：普通门诊在哪些机构可以就诊报销？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50" w:firstLineChars="200"/>
        <w:jc w:val="both"/>
        <w:rPr>
          <w:rFonts w:hint="eastAsia" w:ascii="微软雅黑" w:hAnsi="微软雅黑" w:eastAsia="微软雅黑" w:cs="微软雅黑"/>
          <w:b w:val="0"/>
          <w:i w:val="0"/>
          <w:caps w:val="0"/>
          <w:color w:val="333333"/>
          <w:spacing w:val="8"/>
          <w:sz w:val="24"/>
          <w:szCs w:val="24"/>
        </w:rPr>
      </w:pPr>
      <w:r>
        <w:rPr>
          <w:color w:val="333333"/>
          <w:sz w:val="22"/>
          <w:szCs w:val="22"/>
          <w:bdr w:val="none" w:color="auto" w:sz="0" w:space="0"/>
        </w:rPr>
        <w:t>普通门诊就诊范围主要在由辖区所在县区医保经办机构确定并签订服务协议的二级公立定点医疗机构、乡镇卫生院、社区卫生服务中心和符合条件的村卫生室、社区卫生服务站。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color w:val="auto"/>
        </w:rPr>
      </w:pPr>
      <w:r>
        <w:rPr>
          <w:b/>
          <w:bCs/>
          <w:color w:val="auto"/>
          <w:sz w:val="25"/>
          <w:szCs w:val="25"/>
          <w:bdr w:val="none" w:color="E2561B" w:sz="0" w:space="0"/>
        </w:rPr>
        <w:t>问：普通门诊报销标准是什么？与以往政策有什么不同？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50" w:firstLineChars="200"/>
        <w:jc w:val="both"/>
      </w:pPr>
      <w:r>
        <w:rPr>
          <w:color w:val="333333"/>
          <w:sz w:val="22"/>
          <w:szCs w:val="22"/>
          <w:bdr w:val="none" w:color="auto" w:sz="0" w:space="0"/>
        </w:rPr>
        <w:t>沿用原城镇居民普通门诊报销政策，起付标准为每人每次10元，报销比例60%，每人每年度累计报销不超过100元。原新农合普通门诊报销政策为：乡、村级医疗机构单次门诊费用报销比例为70%，报销限额为乡级50元，村级30元，参合农民每人每年普通门诊统筹报销封顶线为60元，以户封顶结算，跨年度不结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color w:val="auto"/>
        </w:rPr>
      </w:pPr>
      <w:r>
        <w:rPr>
          <w:b/>
          <w:bCs/>
          <w:color w:val="auto"/>
          <w:sz w:val="25"/>
          <w:szCs w:val="25"/>
          <w:bdr w:val="none" w:color="E2561B" w:sz="0" w:space="0"/>
        </w:rPr>
        <w:t>问：参保人员如何门诊就医报销？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50" w:firstLineChars="200"/>
        <w:jc w:val="both"/>
      </w:pPr>
      <w:r>
        <w:rPr>
          <w:color w:val="333333"/>
          <w:sz w:val="22"/>
          <w:szCs w:val="22"/>
          <w:bdr w:val="none" w:color="auto" w:sz="0" w:space="0"/>
        </w:rPr>
        <w:t>参保人员门诊就医时，须持个人社会保障卡、身份证在全市门诊定点医疗机构诊治、购药自动刷卡结算。无卡人员就医时，需到户口所在地医保经办机构开具无卡就医确认单，再到定点医疗机构就诊。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b w:val="0"/>
          <w:i w:val="0"/>
          <w:caps w:val="0"/>
          <w:color w:val="auto"/>
          <w:spacing w:val="8"/>
          <w:sz w:val="24"/>
          <w:szCs w:val="24"/>
        </w:rPr>
      </w:pPr>
      <w:r>
        <w:rPr>
          <w:rStyle w:val="7"/>
          <w:rFonts w:hint="eastAsia" w:ascii="微软雅黑" w:hAnsi="微软雅黑" w:eastAsia="微软雅黑" w:cs="微软雅黑"/>
          <w:i w:val="0"/>
          <w:caps w:val="0"/>
          <w:color w:val="auto"/>
          <w:spacing w:val="8"/>
          <w:sz w:val="24"/>
          <w:szCs w:val="24"/>
          <w:bdr w:val="none" w:color="auto" w:sz="0" w:space="0"/>
          <w:shd w:val="clear" w:fill="FFFFFF"/>
        </w:rPr>
        <w:t>兰州市城乡居民基本医疗保险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b w:val="0"/>
          <w:i w:val="0"/>
          <w:caps w:val="0"/>
          <w:color w:val="auto"/>
          <w:spacing w:val="8"/>
          <w:sz w:val="24"/>
          <w:szCs w:val="24"/>
        </w:rPr>
      </w:pPr>
      <w:r>
        <w:rPr>
          <w:rStyle w:val="7"/>
          <w:rFonts w:hint="eastAsia" w:ascii="微软雅黑" w:hAnsi="微软雅黑" w:eastAsia="微软雅黑" w:cs="微软雅黑"/>
          <w:i w:val="0"/>
          <w:caps w:val="0"/>
          <w:color w:val="auto"/>
          <w:spacing w:val="8"/>
          <w:sz w:val="24"/>
          <w:szCs w:val="24"/>
          <w:bdr w:val="none" w:color="auto" w:sz="0" w:space="0"/>
          <w:shd w:val="clear" w:fill="FFFFFF"/>
        </w:rPr>
        <w:t>县级分级诊疗病种及住院费用限额标准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b w:val="0"/>
          <w:i w:val="0"/>
          <w:caps w:val="0"/>
          <w:color w:val="3E3E3E"/>
          <w:spacing w:val="8"/>
          <w:sz w:val="24"/>
          <w:szCs w:val="24"/>
        </w:rPr>
      </w:pPr>
      <w:r>
        <w:rPr>
          <w:rFonts w:hint="eastAsia" w:ascii="微软雅黑" w:hAnsi="微软雅黑" w:eastAsia="微软雅黑" w:cs="微软雅黑"/>
          <w:b w:val="0"/>
          <w:i w:val="0"/>
          <w:caps w:val="0"/>
          <w:color w:val="3E3E3E"/>
          <w:spacing w:val="8"/>
          <w:sz w:val="21"/>
          <w:szCs w:val="21"/>
          <w:bdr w:val="none" w:color="auto" w:sz="0" w:space="0"/>
          <w:shd w:val="clear" w:fill="FFFFFF"/>
        </w:rPr>
        <w:t>（中西医同病同价）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b w:val="0"/>
          <w:i w:val="0"/>
          <w:caps w:val="0"/>
          <w:color w:val="3E3E3E"/>
          <w:spacing w:val="8"/>
          <w:sz w:val="24"/>
          <w:szCs w:val="24"/>
        </w:rPr>
      </w:pPr>
      <w:r>
        <w:rPr>
          <w:rFonts w:hint="eastAsia" w:ascii="微软雅黑" w:hAnsi="微软雅黑" w:eastAsia="微软雅黑" w:cs="微软雅黑"/>
          <w:b w:val="0"/>
          <w:i w:val="0"/>
          <w:caps w:val="0"/>
          <w:color w:val="3E3E3E"/>
          <w:spacing w:val="8"/>
          <w:sz w:val="21"/>
          <w:szCs w:val="21"/>
          <w:bdr w:val="none" w:color="auto" w:sz="0" w:space="0"/>
          <w:shd w:val="clear" w:fill="FFFFFF"/>
        </w:rPr>
        <w:t>单位：元</w:t>
      </w:r>
    </w:p>
    <w:tbl>
      <w:tblPr>
        <w:tblW w:w="100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15"/>
        <w:gridCol w:w="3287"/>
        <w:gridCol w:w="1681"/>
        <w:gridCol w:w="1575"/>
        <w:gridCol w:w="2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序号</w:t>
            </w:r>
          </w:p>
        </w:tc>
        <w:tc>
          <w:tcPr>
            <w:tcW w:w="3287"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疾病名称</w:t>
            </w:r>
          </w:p>
        </w:tc>
        <w:tc>
          <w:tcPr>
            <w:tcW w:w="1681"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限额标准</w:t>
            </w:r>
          </w:p>
        </w:tc>
        <w:tc>
          <w:tcPr>
            <w:tcW w:w="15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支付定额</w:t>
            </w:r>
          </w:p>
        </w:tc>
        <w:tc>
          <w:tcPr>
            <w:tcW w:w="245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自付限额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急性上呼吸道感染</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小儿支气管肺炎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鼻窦炎（非手术）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鼻窦炎（手术）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大叶性肺炎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鼻出血</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1190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鼻中隔偏曲（手术）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支气管哮喘（持续状态除外）</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支气管扩张</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间质性肺炎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肺脓疡</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3150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脓胸</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6100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4270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血气胸</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6100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4270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结核性胸膜炎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新生儿窒息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上消化道出血</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3900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2730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肝硬化（失代偿期除外）</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4200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2940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病毒性肝炎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返流性食管炎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胃息肉（手术）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急性胰腺炎（水肿型）</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3360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急性梗阻性化脓性胆管炎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8400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空腔脏器穿孔</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5700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3990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慢性萎缩性胃炎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急性肠炎(重症)</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840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急性细菌性痢疾</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980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肠梗阻</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2700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1890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脾破裂</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8700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6090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腹膜炎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4300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3010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腹腔脓肿</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5700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3990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阑尾炎及周围脓肿（非手术）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阑尾炎及周围脓肿（手术）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溃疡性结肠炎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2700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1890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肛瘘</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2900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2030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肛周脓肿（非手术）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肛周脓肿（手术）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胆囊息肉（手术）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5100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3570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婴幼儿腹泻病</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770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慢性胆囊炎并胆囊结石（非手术）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慢性胆囊炎并胆囊结石（手术）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病毒性心肌炎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1470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高血压病(2．3级)</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动脉粥样硬化</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2900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2030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冠心病（非介入治疗）</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高血压性心脏病</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肺源性心脏病</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心肌病（再同步化治疗除外）</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3300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2310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心瓣膜病（非手术）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3300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2310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先天性心脏病（非手术）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心功能衰竭（难治性心衰除外）</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心律失常（射频消融．起搏除外）</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2900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2030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脑出血（除重症）</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3920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急性肾小球肾炎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2700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1890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急性肾盂肾炎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1610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慢性肾功能不全</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5200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3640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原发性肾病综合征</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输尿管结石</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1470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肾挫裂伤</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单纯性肾囊肿（非手术）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前列腺增生症（手术）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3850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附睾炎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附睾结核</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睾丸鞘膜积液</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脑挫裂伤（重症除外）</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7100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4970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创伤性闭合性硬膜外血肿</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4900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创伤性急性硬脑膜下血肿</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4760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周围神经炎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3300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2310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面神经麻痹</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3400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2380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颈椎病（脊髓型）</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皮层下动脉硬化性脑病</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2660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晕厥（心源性除外）</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1540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癫痫（持续状态除外）</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内耳眩晕症</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1610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脑梗死</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2660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缺血缺氧性脑病</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1680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短暂性脑缺血发作</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原发性甲状腺机能亢进症</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原发性甲状腺功能减退症</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糖尿病</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甲状腺良性肿瘤（手术）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腕管综合征</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3100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2170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四肢骨折（非手术）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四肢骨折（手术）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4200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腰椎骨折（重症除外）</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6100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4270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肋骨骨折</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髌骨骨折</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5400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3780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骨盆骨折（重症除外）</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5200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3640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乳腺纤维瘤（手术）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跟腱断裂</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4900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3430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下肢静脉曲张（手术）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4300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3010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多处软组织损伤</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1610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去除骨折内固定装置</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2900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2030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盆腔器官脱垂（手术）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3360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葡萄胎（恶性除外）</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1680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输卵管妊娠（手术）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3900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2730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卵巢良性肿瘤（单侧）</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卵巢良性肿瘤（双侧）</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4400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3080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功能失调性子宫出血（非手术）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功能失调性子宫出血（手术）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新生儿高胆素血症</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3200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2240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过敏性紫癜（含并发症）</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1470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特发性血小板减少性紫癜</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营养不良性贫血</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3300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2310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慢性扁桃腺炎（手术）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腰椎间盘突出症（非手术）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支气管肺炎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支气管炎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腰椎骨质增生</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慢性子宫颈炎（手术）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慢性子宫颈炎（非手术）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急性胃肠炎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类风湿性关节炎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3400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2380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子宫肌瘤（微创手术）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5600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子宫肌瘤（开腹手术）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4300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3010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急性胆囊炎（非手术）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3300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2310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胃溃疡</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3100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2170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先兆流产</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肠系膜淋巴结炎（小儿）</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1190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急性喉炎（小儿）</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1190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新生儿肺炎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急性化脓性扁桃体炎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急性盆腔炎（非手术）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1680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前庭神经元炎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2900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2030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脑梗死后遗症</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腹股沟斜疝(单侧、普通手术)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腹股沟斜疝(单侧、补片手术)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肾结石（含体外碎石）</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脂肪瘤（体表）</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手外伤</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3360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强直性脊柱炎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坐骨神经痛</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手足口病</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910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小儿肠炎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慢性前列腺炎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咽峡炎（小儿）</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910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颅骨骨折（非手术）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颅骨骨折（手术）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7000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腰椎管狭窄（非手术）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早产儿（不含极低超低出生体重儿及有合并症的）</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3360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翼状胬肉（手术、单侧）</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先兆早产</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840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疱疹性咽炎（小儿）</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910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结核性胸膜炎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新生儿缺氧缺血性脑病</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滑膜炎（非手术）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脑出血后遗症</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3900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2730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脑震荡</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病毒性脑炎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高热惊厥</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卵巢囊肿（单侧、微创手术）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4900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卵巢囊肿（单侧、开腹手术）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上消化道溃疡合并出血（输血）</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4200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上消化道溃疡合并出血（非输血）</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风湿性心脏病</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3700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2590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妊娠合并贫血（重度）                         </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2700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1890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急性毛细支气管炎（小儿）</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1190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缺铁性贫血</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子宫内膜炎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脑萎缩</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子宫颈息肉</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鞘膜积液</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3400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2380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腘窝囊肿（单侧、手术）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水痘</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巨幼细胞性贫血</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突发性耳聋[特发性聋]</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2900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2030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血管性头痛</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1540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心血管神经症</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2700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1890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稽留流产</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十二指肠球部溃疡</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2900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2030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角膜溃疡</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1540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糖尿病性肾病</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神经官能症</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1680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免疫性血小板减少症</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自发性气胸（非手术）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肌腱损伤（手术）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化脓性关节炎（非手术）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糖尿病性周围神经病</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溃疡性结肠炎（非手术）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股骨头无菌性坏死</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9800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慢性结肠炎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2700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1890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骨髓炎（非手术）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3220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精索静脉曲张（单侧，开放手术）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前庭大腺脓肿</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1470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新生儿吸入综合征</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4900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3430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麻疹</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肱骨骨折</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5600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尺桡骨骨折</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7700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掌指骨骨折</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8700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6090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锁骨骨折</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8700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6090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股骨骨折</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9700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6790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胫腓骨骨折</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9800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踝关节骨折</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9100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跖趾骨骨折</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5600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髌骨骨折</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4900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肋骨骨折</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7000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腰椎骨折</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9800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骨盆骨折（轻、中度）</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7000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耻骨骨折</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3900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2730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流行性腮腺炎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2900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2030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肘管综合征（手术）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2660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椎基底动脉供血不足</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3200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2240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痛风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鼾症（手术）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3850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结膜出血</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退行性脊柱炎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结节性甲状腺肿</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血栓闭塞性脉管炎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2900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2030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肛裂（手术）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神经性头痛</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840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睾丸炎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胆管炎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3700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2590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低血压</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外阴囊肿（手术）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急性乳腺炎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2900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2030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皮层下动脉硬化性脑病</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脑出血（除重症）</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4400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3080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前庭大腺囊肿</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乳腺脓肿（手术）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烧伤 （一度、浅二度）</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1680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急性咽喉炎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一氧化碳中毒</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结核性腹膜炎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3400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2380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甲状腺炎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躯干皮肤良性肿瘤</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骨软骨瘤</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低血糖</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垂体功能减退症</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疲劳综合症</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帕金森症</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三叉神经炎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扩张型心肌病</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3300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2310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心肌损害（小儿）</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胃下垂</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1190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不全性肠梗阻（小儿）</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直肠息肉</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2700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1890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直肠粘膜脱垂</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压疮</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1120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掌腱膜挛缩症</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筋膜炎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1960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输卵管积液（手术）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3150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拇外翻（手术）</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膝关节置换术（单侧）</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39000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27300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膝关节置换术（双侧）</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78000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40000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244</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髋关节置换术（单侧）</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39000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27300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245</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髋关节置换术（双侧）</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78000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40000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246</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角膜炎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1540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247</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泪囊炎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1540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248</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青光眼</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1540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249</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虹膜睫状体炎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1470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250</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肝功能异常</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251</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牙龈炎</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1050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252</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视网膜分支静脉阻塞</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1610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253</w:t>
            </w:r>
          </w:p>
        </w:tc>
        <w:tc>
          <w:tcPr>
            <w:tcW w:w="32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视网膜中央静脉阻塞</w:t>
            </w:r>
          </w:p>
        </w:tc>
        <w:tc>
          <w:tcPr>
            <w:tcW w:w="1681"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2300</w:t>
            </w:r>
          </w:p>
        </w:tc>
        <w:tc>
          <w:tcPr>
            <w:tcW w:w="157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1610</w:t>
            </w:r>
          </w:p>
        </w:tc>
        <w:tc>
          <w:tcPr>
            <w:tcW w:w="2450"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690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b w:val="0"/>
          <w:i w:val="0"/>
          <w:caps w:val="0"/>
          <w:color w:val="3E3E3E"/>
          <w:spacing w:val="8"/>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b w:val="0"/>
          <w:i w:val="0"/>
          <w:caps w:val="0"/>
          <w:color w:val="auto"/>
          <w:spacing w:val="8"/>
          <w:sz w:val="24"/>
          <w:szCs w:val="24"/>
        </w:rPr>
      </w:pPr>
      <w:r>
        <w:rPr>
          <w:rStyle w:val="7"/>
          <w:rFonts w:hint="eastAsia" w:ascii="微软雅黑" w:hAnsi="微软雅黑" w:eastAsia="微软雅黑" w:cs="微软雅黑"/>
          <w:i w:val="0"/>
          <w:caps w:val="0"/>
          <w:color w:val="auto"/>
          <w:spacing w:val="8"/>
          <w:sz w:val="24"/>
          <w:szCs w:val="24"/>
          <w:bdr w:val="none" w:color="auto" w:sz="0" w:space="0"/>
          <w:shd w:val="clear" w:fill="FFFFFF"/>
        </w:rPr>
        <w:t>兰州市城乡居民基本医疗保险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b w:val="0"/>
          <w:i w:val="0"/>
          <w:caps w:val="0"/>
          <w:color w:val="3E3E3E"/>
          <w:spacing w:val="8"/>
          <w:sz w:val="24"/>
          <w:szCs w:val="24"/>
        </w:rPr>
      </w:pPr>
      <w:r>
        <w:rPr>
          <w:rStyle w:val="7"/>
          <w:rFonts w:hint="eastAsia" w:ascii="微软雅黑" w:hAnsi="微软雅黑" w:eastAsia="微软雅黑" w:cs="微软雅黑"/>
          <w:i w:val="0"/>
          <w:caps w:val="0"/>
          <w:color w:val="auto"/>
          <w:spacing w:val="8"/>
          <w:sz w:val="24"/>
          <w:szCs w:val="24"/>
          <w:bdr w:val="none" w:color="auto" w:sz="0" w:space="0"/>
          <w:shd w:val="clear" w:fill="FFFFFF"/>
        </w:rPr>
        <w:t>乡级分级诊疗病种及住院费用限额标准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b w:val="0"/>
          <w:i w:val="0"/>
          <w:caps w:val="0"/>
          <w:color w:val="3E3E3E"/>
          <w:spacing w:val="8"/>
          <w:sz w:val="24"/>
          <w:szCs w:val="24"/>
        </w:rPr>
      </w:pPr>
      <w:r>
        <w:rPr>
          <w:rFonts w:hint="eastAsia" w:ascii="微软雅黑" w:hAnsi="微软雅黑" w:eastAsia="微软雅黑" w:cs="微软雅黑"/>
          <w:b w:val="0"/>
          <w:i w:val="0"/>
          <w:caps w:val="0"/>
          <w:color w:val="3E3E3E"/>
          <w:spacing w:val="8"/>
          <w:sz w:val="21"/>
          <w:szCs w:val="21"/>
          <w:bdr w:val="none" w:color="auto" w:sz="0" w:space="0"/>
          <w:shd w:val="clear" w:fill="FFFFFF"/>
        </w:rPr>
        <w:t>（中西医同病同价）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b w:val="0"/>
          <w:i w:val="0"/>
          <w:caps w:val="0"/>
          <w:color w:val="3E3E3E"/>
          <w:spacing w:val="8"/>
          <w:sz w:val="24"/>
          <w:szCs w:val="24"/>
        </w:rPr>
      </w:pPr>
      <w:r>
        <w:rPr>
          <w:rFonts w:hint="eastAsia" w:ascii="微软雅黑" w:hAnsi="微软雅黑" w:eastAsia="微软雅黑" w:cs="微软雅黑"/>
          <w:b w:val="0"/>
          <w:i w:val="0"/>
          <w:caps w:val="0"/>
          <w:color w:val="3E3E3E"/>
          <w:spacing w:val="8"/>
          <w:sz w:val="21"/>
          <w:szCs w:val="21"/>
          <w:bdr w:val="none" w:color="auto" w:sz="0" w:space="0"/>
          <w:shd w:val="clear" w:fill="FFFFFF"/>
        </w:rPr>
        <w:t>单位：元</w:t>
      </w:r>
    </w:p>
    <w:tbl>
      <w:tblPr>
        <w:tblW w:w="100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40"/>
        <w:gridCol w:w="3250"/>
        <w:gridCol w:w="1285"/>
        <w:gridCol w:w="1647"/>
        <w:gridCol w:w="3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序号</w:t>
            </w:r>
          </w:p>
        </w:tc>
        <w:tc>
          <w:tcPr>
            <w:tcW w:w="325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疾病名称</w:t>
            </w:r>
          </w:p>
        </w:tc>
        <w:tc>
          <w:tcPr>
            <w:tcW w:w="12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限额标准</w:t>
            </w:r>
          </w:p>
        </w:tc>
        <w:tc>
          <w:tcPr>
            <w:tcW w:w="1647"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支付定额</w:t>
            </w:r>
          </w:p>
        </w:tc>
        <w:tc>
          <w:tcPr>
            <w:tcW w:w="3087"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自付限额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慢性扁桃体炎（非手术）</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520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急性肠炎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520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小儿支气管炎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680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阑尾炎（非手术）</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800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慢性胃炎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800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前列腺增生症（非手术）</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520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腰肌劳损</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760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疱疹性咽炎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520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上呼吸道感染</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520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小儿支气管肺炎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640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急性扁桃体炎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520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慢性胆囊炎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800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附件炎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680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骨性关节炎（非手术）</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880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风湿性关节炎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960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腰椎间盘突出（非手术）</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1040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化脓性中耳炎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520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鼻窦炎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520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慢性阻塞性肺病（签延期）</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800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盆腔炎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680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高血压病</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800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锁骨骨折（非手术）</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颈椎病</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960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肩周炎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960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慢性支气管炎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720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26</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宫颈炎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680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27</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淋巴结炎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520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脑梗塞恢复期</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800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29</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胆结石（非手术）</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760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前列腺炎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760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31</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脑神经衰弱</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800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32</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正常分娩</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33</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结膜炎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520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34</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软组织损伤合并轻度感染</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520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急性胃炎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520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36</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慢性肠炎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520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37</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牙周脓肿</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520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38</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下尿路感染</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650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520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39</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营养不良性贫血（轻度）</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800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40</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细菌性痢疾</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640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41</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功能性子宫出血（非手术）</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720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42</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上下肢骨折（非手术）</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1680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43</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输尿管结石（非手术）</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800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44</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急性乳腺炎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640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45</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痔疮（非手术）</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640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46</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急性支气管炎</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640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47</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梅尼埃病</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720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48</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带状疱疹</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720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49</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更年期综合症</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640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50</w:t>
            </w:r>
          </w:p>
        </w:tc>
        <w:tc>
          <w:tcPr>
            <w:tcW w:w="32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腹泻病</w:t>
            </w:r>
          </w:p>
        </w:tc>
        <w:tc>
          <w:tcPr>
            <w:tcW w:w="1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600</w:t>
            </w:r>
          </w:p>
        </w:tc>
        <w:tc>
          <w:tcPr>
            <w:tcW w:w="164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480</w:t>
            </w:r>
          </w:p>
        </w:tc>
        <w:tc>
          <w:tcPr>
            <w:tcW w:w="308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80"/>
        <w:jc w:val="both"/>
        <w:rPr>
          <w:rFonts w:hint="eastAsia" w:ascii="微软雅黑" w:hAnsi="微软雅黑" w:eastAsia="微软雅黑" w:cs="微软雅黑"/>
          <w:b w:val="0"/>
          <w:i w:val="0"/>
          <w:caps w:val="0"/>
          <w:color w:val="3E3E3E"/>
          <w:spacing w:val="8"/>
          <w:sz w:val="24"/>
          <w:szCs w:val="24"/>
        </w:rPr>
      </w:pPr>
    </w:p>
    <w:tbl>
      <w:tblPr>
        <w:tblW w:w="100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95"/>
        <w:gridCol w:w="3405"/>
        <w:gridCol w:w="1440"/>
        <w:gridCol w:w="1665"/>
        <w:gridCol w:w="3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336" w:hRule="atLeast"/>
        </w:trPr>
        <w:tc>
          <w:tcPr>
            <w:tcW w:w="10009" w:type="dxa"/>
            <w:gridSpan w:val="5"/>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color w:val="auto"/>
              </w:rPr>
            </w:pPr>
            <w:r>
              <w:rPr>
                <w:rStyle w:val="7"/>
                <w:rFonts w:hint="eastAsia" w:ascii="微软雅黑" w:hAnsi="微软雅黑" w:eastAsia="微软雅黑" w:cs="微软雅黑"/>
                <w:i w:val="0"/>
                <w:caps w:val="0"/>
                <w:color w:val="auto"/>
                <w:spacing w:val="-15"/>
                <w:sz w:val="24"/>
                <w:szCs w:val="24"/>
                <w:bdr w:val="none" w:color="auto" w:sz="0" w:space="0"/>
              </w:rPr>
              <w:t>兰州市城乡居民基本医疗保险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7"/>
                <w:rFonts w:hint="eastAsia" w:ascii="微软雅黑" w:hAnsi="微软雅黑" w:eastAsia="微软雅黑" w:cs="微软雅黑"/>
                <w:i w:val="0"/>
                <w:caps w:val="0"/>
                <w:color w:val="auto"/>
                <w:spacing w:val="-15"/>
                <w:sz w:val="24"/>
                <w:szCs w:val="24"/>
                <w:bdr w:val="none" w:color="auto" w:sz="0" w:space="0"/>
              </w:rPr>
              <w:t>重大疾病病种及支付标准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10009" w:type="dxa"/>
            <w:gridSpan w:val="5"/>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pPr>
            <w:r>
              <w:rPr>
                <w:rFonts w:hint="eastAsia" w:ascii="微软雅黑" w:hAnsi="微软雅黑" w:eastAsia="微软雅黑" w:cs="微软雅黑"/>
                <w:b w:val="0"/>
                <w:i w:val="0"/>
                <w:caps w:val="0"/>
                <w:color w:val="333333"/>
                <w:spacing w:val="8"/>
                <w:sz w:val="24"/>
                <w:szCs w:val="24"/>
                <w:bdr w:val="none" w:color="auto" w:sz="0" w:space="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序号</w:t>
            </w:r>
          </w:p>
        </w:tc>
        <w:tc>
          <w:tcPr>
            <w:tcW w:w="340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疾病名称</w:t>
            </w:r>
          </w:p>
        </w:tc>
        <w:tc>
          <w:tcPr>
            <w:tcW w:w="14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最高限额</w:t>
            </w:r>
          </w:p>
        </w:tc>
        <w:tc>
          <w:tcPr>
            <w:tcW w:w="166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支付限额</w:t>
            </w:r>
          </w:p>
        </w:tc>
        <w:tc>
          <w:tcPr>
            <w:tcW w:w="300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vMerge w:val="restart"/>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急性早幼粒白血病</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6.3</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vMerge w:val="continue"/>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jc w:val="both"/>
              <w:rPr>
                <w:rFonts w:hint="eastAsia" w:ascii="微软雅黑" w:hAnsi="微软雅黑" w:eastAsia="微软雅黑" w:cs="微软雅黑"/>
                <w:b w:val="0"/>
                <w:i w:val="0"/>
                <w:caps w:val="0"/>
                <w:color w:val="333333"/>
                <w:spacing w:val="8"/>
                <w:sz w:val="24"/>
                <w:szCs w:val="24"/>
              </w:rPr>
            </w:pP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儿童低危急性淋巴细胞白血病</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11.9</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vMerge w:val="continue"/>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jc w:val="both"/>
              <w:rPr>
                <w:rFonts w:hint="eastAsia" w:ascii="微软雅黑" w:hAnsi="微软雅黑" w:eastAsia="微软雅黑" w:cs="微软雅黑"/>
                <w:b w:val="0"/>
                <w:i w:val="0"/>
                <w:caps w:val="0"/>
                <w:color w:val="333333"/>
                <w:spacing w:val="8"/>
                <w:sz w:val="24"/>
                <w:szCs w:val="24"/>
              </w:rPr>
            </w:pP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儿童中高危急性淋巴细胞白血病</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16.1</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儿童单纯性先天性心脏病</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微软雅黑" w:hAnsi="微软雅黑" w:eastAsia="微软雅黑" w:cs="微软雅黑"/>
                <w:b w:val="0"/>
                <w:i w:val="0"/>
                <w:caps w:val="0"/>
                <w:color w:val="333333"/>
                <w:spacing w:val="8"/>
                <w:sz w:val="24"/>
                <w:szCs w:val="24"/>
              </w:rPr>
            </w:pP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儿童复杂性先天性先心病</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中重度传导性神经性耳聋（听觉植入，听力重建）</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乳腺肿瘤（四级手术）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5.6</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宫颈肿瘤（四级手术）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5.6</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重性精神病</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血友病</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慢性粒细胞白血病</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肺部肿瘤（四级手术）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5.6</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食道肿瘤（四级手术）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5.6</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11</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胃部肿瘤（四级手术）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5.6</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12</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急性心肌梗塞（介入）</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vMerge w:val="restart"/>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脑梗死</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vMerge w:val="continue"/>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jc w:val="both"/>
              <w:rPr>
                <w:rFonts w:hint="eastAsia" w:ascii="微软雅黑" w:hAnsi="微软雅黑" w:eastAsia="微软雅黑" w:cs="微软雅黑"/>
                <w:b w:val="0"/>
                <w:i w:val="0"/>
                <w:caps w:val="0"/>
                <w:color w:val="333333"/>
                <w:spacing w:val="8"/>
                <w:sz w:val="24"/>
                <w:szCs w:val="24"/>
              </w:rPr>
            </w:pP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脑出血</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结肠肿瘤(四级手术）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4.2</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直肠肿瘤（四级手术）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5.6</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16</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儿童脑瘫</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17</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肝肿瘤（器官移植除外）（四级手术）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4.9</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18</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胰腺肿瘤（四级手术）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4.9</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19</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恶性淋巴瘤</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9.1</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vMerge w:val="restart"/>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20</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胆囊恶性肿瘤(四级手术)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vMerge w:val="continue"/>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jc w:val="both"/>
              <w:rPr>
                <w:rFonts w:hint="eastAsia" w:ascii="微软雅黑" w:hAnsi="微软雅黑" w:eastAsia="微软雅黑" w:cs="微软雅黑"/>
                <w:b w:val="0"/>
                <w:i w:val="0"/>
                <w:caps w:val="0"/>
                <w:color w:val="333333"/>
                <w:spacing w:val="8"/>
                <w:sz w:val="24"/>
                <w:szCs w:val="24"/>
              </w:rPr>
            </w:pP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胆管恶性肿瘤(四级手术)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多器官功能障碍综合征(MODS)</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22</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肝硬化（失代偿期）</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23</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急性重症胰腺炎</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24</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甲状腺肿瘤（四级手术）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25</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卵巢恶性肿瘤（四级手术）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5.6</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26</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脑肿瘤（四级手术）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7</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27</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前列腺肿瘤（四级手术）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28</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骨与软组织恶性肿瘤（四级手术）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13</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9.1</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29</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子宫内膜恶性肿瘤（四级手术）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5.6</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30</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先天性心脏病（成人）（四级手术）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31</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膀胱肿瘤（四级手术）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8</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5.6</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vMerge w:val="restart"/>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32</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主动脉夹层和主动脉瘤（介入）</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15</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10.5</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vMerge w:val="continue"/>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jc w:val="both"/>
              <w:rPr>
                <w:rFonts w:hint="eastAsia" w:ascii="微软雅黑" w:hAnsi="微软雅黑" w:eastAsia="微软雅黑" w:cs="微软雅黑"/>
                <w:b w:val="0"/>
                <w:i w:val="0"/>
                <w:caps w:val="0"/>
                <w:color w:val="333333"/>
                <w:spacing w:val="8"/>
                <w:sz w:val="24"/>
                <w:szCs w:val="24"/>
              </w:rPr>
            </w:pP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单侧下肢动脉硬化闭塞症（介入）</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vMerge w:val="continue"/>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jc w:val="both"/>
              <w:rPr>
                <w:rFonts w:hint="eastAsia" w:ascii="微软雅黑" w:hAnsi="微软雅黑" w:eastAsia="微软雅黑" w:cs="微软雅黑"/>
                <w:b w:val="0"/>
                <w:i w:val="0"/>
                <w:caps w:val="0"/>
                <w:color w:val="333333"/>
                <w:spacing w:val="8"/>
                <w:sz w:val="24"/>
                <w:szCs w:val="24"/>
              </w:rPr>
            </w:pP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下肢静脉血栓形成和/或合并肺栓塞（介入）</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33</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极低出生体重儿</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34</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超极低出生体重儿</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9</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6.3</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重症肺炎</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36</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休克</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37</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儿童哮喘持续状态</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0.7</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38</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妊娠期高血压疾病（子痫前期重度）</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39</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产后出血（介入手术）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vMerge w:val="restart"/>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40</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胎盘植入</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vMerge w:val="continue"/>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jc w:val="both"/>
              <w:rPr>
                <w:rFonts w:hint="eastAsia" w:ascii="微软雅黑" w:hAnsi="微软雅黑" w:eastAsia="微软雅黑" w:cs="微软雅黑"/>
                <w:b w:val="0"/>
                <w:i w:val="0"/>
                <w:caps w:val="0"/>
                <w:color w:val="333333"/>
                <w:spacing w:val="8"/>
                <w:sz w:val="24"/>
                <w:szCs w:val="24"/>
              </w:rPr>
            </w:pP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完全性前置胎盘</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0.7</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vMerge w:val="restart"/>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41</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急性肾功能衰竭</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vMerge w:val="continue"/>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jc w:val="both"/>
              <w:rPr>
                <w:rFonts w:hint="eastAsia" w:ascii="微软雅黑" w:hAnsi="微软雅黑" w:eastAsia="微软雅黑" w:cs="微软雅黑"/>
                <w:b w:val="0"/>
                <w:i w:val="0"/>
                <w:caps w:val="0"/>
                <w:color w:val="333333"/>
                <w:spacing w:val="8"/>
                <w:sz w:val="24"/>
                <w:szCs w:val="24"/>
              </w:rPr>
            </w:pP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慢性肾功能衰竭</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4.2</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42</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机会感染性艾滋病</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4"/>
                <w:szCs w:val="24"/>
              </w:rPr>
            </w:pP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4"/>
                <w:szCs w:val="24"/>
              </w:rPr>
            </w:pP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43</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肾脏肿瘤（四级手术）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44</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妊娠期血小板减少症</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45</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人工关节置换术（单侧）</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46</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病毒性脑炎（重症）</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47</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化脓性脑膜炎（重症）</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1.4</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48</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头颈部恶性肿瘤（四级手术）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4.2</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49</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肾上腺肿瘤(四级手术)</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2.1</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包括普通放、化疗，累计/年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50</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新生儿先天性消化道畸形</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3.5</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4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51</w:t>
            </w:r>
          </w:p>
        </w:tc>
        <w:tc>
          <w:tcPr>
            <w:tcW w:w="34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结核性脑膜炎</w:t>
            </w:r>
          </w:p>
        </w:tc>
        <w:tc>
          <w:tcPr>
            <w:tcW w:w="1440"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6</w:t>
            </w:r>
          </w:p>
        </w:tc>
        <w:tc>
          <w:tcPr>
            <w:tcW w:w="166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4.2</w:t>
            </w:r>
          </w:p>
        </w:tc>
        <w:tc>
          <w:tcPr>
            <w:tcW w:w="300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rPr>
              <w:t>累计/年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tc>
      </w:tr>
    </w:tbl>
    <w:p>
      <w:pPr>
        <w:keepNext w:val="0"/>
        <w:keepLines w:val="0"/>
        <w:widowControl/>
        <w:suppressLineNumbers w:val="0"/>
        <w:spacing w:before="0" w:beforeAutospacing="0" w:after="0" w:afterAutospacing="0"/>
        <w:ind w:left="0" w:right="0"/>
        <w:jc w:val="left"/>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B1BC7"/>
    <w:rsid w:val="0AAE2D39"/>
    <w:rsid w:val="105A6D43"/>
    <w:rsid w:val="203F4A86"/>
    <w:rsid w:val="282B1BC7"/>
    <w:rsid w:val="2F4A3BE4"/>
    <w:rsid w:val="40AF2F75"/>
    <w:rsid w:val="4E9511D1"/>
    <w:rsid w:val="59077EE1"/>
    <w:rsid w:val="663C5736"/>
    <w:rsid w:val="69026AF3"/>
    <w:rsid w:val="6D535020"/>
    <w:rsid w:val="71B120CC"/>
    <w:rsid w:val="7A145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35</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2018-06-07T02:21:00Z</dcterms:created>
  <dc:creator>回想青春</dc:creator>
  <cp:lastModifiedBy>回想青春</cp:lastModifiedBy>
  <cp:lastPrinted>2018-06-07T07:10:30Z</cp:lastPrinted>
  <dcterms:modified xsi:type="dcterms:W3CDTF">2018-06-07T09:19:44Z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